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60" w:rsidRPr="005C0041" w:rsidRDefault="00E16260" w:rsidP="00E16260">
      <w:pPr>
        <w:spacing w:before="100" w:beforeAutospacing="1" w:after="100" w:afterAutospacing="1"/>
        <w:rPr>
          <w:rFonts w:eastAsia="Times New Roman"/>
          <w:szCs w:val="24"/>
          <w:lang w:eastAsia="en-GB"/>
        </w:rPr>
      </w:pPr>
      <w:r w:rsidRPr="005C0041">
        <w:rPr>
          <w:rFonts w:eastAsia="Times New Roman"/>
          <w:color w:val="000080"/>
          <w:sz w:val="48"/>
          <w:szCs w:val="48"/>
          <w:lang w:eastAsia="en-GB"/>
        </w:rPr>
        <w:t xml:space="preserve">Working Notes and Chronology </w:t>
      </w:r>
      <w:proofErr w:type="gramStart"/>
      <w:r w:rsidRPr="005C0041">
        <w:rPr>
          <w:rFonts w:eastAsia="Times New Roman"/>
          <w:color w:val="000080"/>
          <w:sz w:val="48"/>
          <w:szCs w:val="48"/>
          <w:lang w:eastAsia="en-GB"/>
        </w:rPr>
        <w:t>1</w:t>
      </w:r>
      <w:r>
        <w:rPr>
          <w:rFonts w:eastAsia="Times New Roman"/>
          <w:color w:val="000080"/>
          <w:sz w:val="48"/>
          <w:szCs w:val="48"/>
          <w:lang w:eastAsia="en-GB"/>
        </w:rPr>
        <w:t xml:space="preserve">  </w:t>
      </w:r>
      <w:r w:rsidRPr="005C0041">
        <w:rPr>
          <w:rFonts w:eastAsia="Times New Roman"/>
          <w:color w:val="000080"/>
          <w:sz w:val="48"/>
          <w:szCs w:val="48"/>
          <w:lang w:eastAsia="en-GB"/>
        </w:rPr>
        <w:t>1483</w:t>
      </w:r>
      <w:proofErr w:type="gramEnd"/>
      <w:r w:rsidRPr="005C0041">
        <w:rPr>
          <w:rFonts w:eastAsia="Times New Roman"/>
          <w:color w:val="000080"/>
          <w:sz w:val="48"/>
          <w:szCs w:val="48"/>
          <w:lang w:eastAsia="en-GB"/>
        </w:rPr>
        <w:t xml:space="preserve"> - 1654</w:t>
      </w:r>
    </w:p>
    <w:p w:rsidR="00E16260" w:rsidRPr="005C0041" w:rsidRDefault="00E16260" w:rsidP="005C0041">
      <w:pPr>
        <w:spacing w:before="100" w:beforeAutospacing="1" w:after="100" w:afterAutospacing="1"/>
        <w:rPr>
          <w:rFonts w:eastAsia="Times New Roman"/>
          <w:szCs w:val="24"/>
          <w:lang w:eastAsia="en-GB"/>
        </w:rPr>
      </w:pPr>
      <w:r w:rsidRPr="005C0041">
        <w:rPr>
          <w:rFonts w:eastAsia="Times New Roman"/>
          <w:color w:val="FFFFFF"/>
          <w:sz w:val="20"/>
          <w:lang w:eastAsia="en-GB"/>
        </w:rPr>
        <w:t>.</w:t>
      </w:r>
    </w:p>
    <w:p w:rsidR="00E16260" w:rsidRPr="005C0041" w:rsidRDefault="00E16260" w:rsidP="00E16260">
      <w:pPr>
        <w:rPr>
          <w:rFonts w:eastAsia="Times New Roman"/>
          <w:szCs w:val="24"/>
          <w:lang w:eastAsia="en-GB"/>
        </w:rPr>
      </w:pPr>
      <w:r w:rsidRPr="005C0041">
        <w:rPr>
          <w:rFonts w:eastAsia="Times New Roman"/>
          <w:color w:val="000080"/>
          <w:sz w:val="20"/>
          <w:lang w:eastAsia="en-GB"/>
        </w:rPr>
        <w:t>Michael Woolley 1999</w:t>
      </w:r>
    </w:p>
    <w:p w:rsidR="00E16260" w:rsidRPr="005C0041" w:rsidRDefault="00E16260" w:rsidP="00E16260">
      <w:pPr>
        <w:rPr>
          <w:rFonts w:eastAsia="Times New Roman"/>
          <w:szCs w:val="24"/>
          <w:lang w:eastAsia="en-GB"/>
        </w:rPr>
      </w:pPr>
      <w:r w:rsidRPr="005C0041">
        <w:rPr>
          <w:rFonts w:eastAsia="Times New Roman"/>
          <w:color w:val="000080"/>
          <w:sz w:val="20"/>
          <w:lang w:eastAsia="en-GB"/>
        </w:rPr>
        <w:t>This Internet Edition last revised 18 September 2006</w:t>
      </w:r>
    </w:p>
    <w:p w:rsidR="00E16260" w:rsidRPr="005C0041" w:rsidRDefault="00E16260" w:rsidP="005C0041">
      <w:pPr>
        <w:rPr>
          <w:rFonts w:eastAsia="Times New Roman"/>
          <w:szCs w:val="24"/>
          <w:lang w:eastAsia="en-GB"/>
        </w:rPr>
      </w:pPr>
      <w:r w:rsidRPr="005C0041">
        <w:rPr>
          <w:rFonts w:eastAsia="Times New Roman"/>
          <w:color w:val="0000FF"/>
          <w:sz w:val="20"/>
          <w:lang w:eastAsia="en-GB"/>
        </w:rPr>
        <w:t>  </w:t>
      </w:r>
      <w:r w:rsidRPr="005C0041">
        <w:rPr>
          <w:rFonts w:eastAsia="Times New Roman"/>
          <w:color w:val="FFFFFF"/>
          <w:szCs w:val="24"/>
          <w:lang w:eastAsia="en-GB"/>
        </w:rPr>
        <w:t>.</w:t>
      </w:r>
    </w:p>
    <w:p w:rsidR="00E16260" w:rsidRPr="005C0041" w:rsidRDefault="00E16260" w:rsidP="006B1A63">
      <w:pPr>
        <w:rPr>
          <w:rFonts w:eastAsia="Times New Roman"/>
          <w:szCs w:val="24"/>
          <w:lang w:eastAsia="en-GB"/>
        </w:rPr>
      </w:pPr>
      <w:r w:rsidRPr="005C0041">
        <w:rPr>
          <w:rFonts w:eastAsia="Times New Roman"/>
          <w:i/>
          <w:iCs/>
          <w:color w:val="000080"/>
          <w:sz w:val="20"/>
          <w:lang w:eastAsia="en-GB"/>
        </w:rPr>
        <w:t xml:space="preserve">Number (column two) refers to documents in the associated hard copy (blue) files which are held by the </w:t>
      </w:r>
      <w:r>
        <w:rPr>
          <w:rFonts w:eastAsia="Times New Roman"/>
          <w:i/>
          <w:iCs/>
          <w:color w:val="000080"/>
          <w:sz w:val="20"/>
          <w:lang w:eastAsia="en-GB"/>
        </w:rPr>
        <w:t>Local</w:t>
      </w:r>
      <w:r w:rsidRPr="005C0041">
        <w:rPr>
          <w:rFonts w:eastAsia="Times New Roman"/>
          <w:i/>
          <w:iCs/>
          <w:color w:val="000080"/>
          <w:sz w:val="20"/>
          <w:lang w:eastAsia="en-GB"/>
        </w:rPr>
        <w:t xml:space="preserve"> Meeting Librarian</w:t>
      </w:r>
    </w:p>
    <w:tbl>
      <w:tblPr>
        <w:tblW w:w="4925" w:type="pct"/>
        <w:tblCellSpacing w:w="0" w:type="dxa"/>
        <w:tblLayout w:type="fixed"/>
        <w:tblCellMar>
          <w:left w:w="0" w:type="dxa"/>
          <w:right w:w="0" w:type="dxa"/>
        </w:tblCellMar>
        <w:tblLook w:val="04A0" w:firstRow="1" w:lastRow="0" w:firstColumn="1" w:lastColumn="0" w:noHBand="0" w:noVBand="1"/>
      </w:tblPr>
      <w:tblGrid>
        <w:gridCol w:w="15167"/>
      </w:tblGrid>
      <w:tr w:rsidR="005C0041" w:rsidRPr="005C0041" w:rsidTr="009F5CBA">
        <w:trPr>
          <w:tblCellSpacing w:w="0" w:type="dxa"/>
        </w:trPr>
        <w:tc>
          <w:tcPr>
            <w:tcW w:w="5000" w:type="pct"/>
            <w:vAlign w:val="center"/>
            <w:hideMark/>
          </w:tcPr>
          <w:p w:rsidR="005C0041" w:rsidRPr="005C0041" w:rsidRDefault="005C0041" w:rsidP="005C0041">
            <w:pPr>
              <w:rPr>
                <w:rFonts w:eastAsia="Times New Roman"/>
                <w:szCs w:val="24"/>
                <w:lang w:eastAsia="en-GB"/>
              </w:rPr>
            </w:pPr>
          </w:p>
        </w:tc>
      </w:tr>
      <w:tr w:rsidR="005C0041" w:rsidRPr="00E16260" w:rsidTr="009F5CBA">
        <w:trPr>
          <w:tblCellSpacing w:w="0" w:type="dxa"/>
        </w:trPr>
        <w:tc>
          <w:tcPr>
            <w:tcW w:w="5000" w:type="pct"/>
            <w:vAlign w:val="center"/>
            <w:hideMark/>
          </w:tcPr>
          <w:p w:rsidR="005C0041" w:rsidRPr="00E16260" w:rsidRDefault="005C0041" w:rsidP="005C0041">
            <w:pPr>
              <w:rPr>
                <w:rFonts w:eastAsia="Times New Roman"/>
                <w:szCs w:val="24"/>
                <w:lang w:eastAsia="en-GB"/>
              </w:rPr>
            </w:pPr>
            <w:r w:rsidRPr="00E16260">
              <w:rPr>
                <w:rFonts w:eastAsia="Times New Roman"/>
                <w:szCs w:val="24"/>
                <w:lang w:eastAsia="en-GB"/>
              </w:rPr>
              <w:t> </w:t>
            </w:r>
          </w:p>
          <w:tbl>
            <w:tblPr>
              <w:tblW w:w="15398" w:type="dxa"/>
              <w:tblCellSpacing w:w="0" w:type="dxa"/>
              <w:tblLayout w:type="fixed"/>
              <w:tblCellMar>
                <w:top w:w="120" w:type="dxa"/>
                <w:left w:w="120" w:type="dxa"/>
                <w:bottom w:w="120" w:type="dxa"/>
                <w:right w:w="120" w:type="dxa"/>
              </w:tblCellMar>
              <w:tblLook w:val="04A0" w:firstRow="1" w:lastRow="0" w:firstColumn="1" w:lastColumn="0" w:noHBand="0" w:noVBand="1"/>
            </w:tblPr>
            <w:tblGrid>
              <w:gridCol w:w="851"/>
              <w:gridCol w:w="1134"/>
              <w:gridCol w:w="2126"/>
              <w:gridCol w:w="11287"/>
            </w:tblGrid>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b/>
                      <w:bCs/>
                      <w:szCs w:val="24"/>
                      <w:lang w:eastAsia="en-GB"/>
                    </w:rPr>
                    <w:t>Date</w:t>
                  </w:r>
                </w:p>
              </w:tc>
              <w:tc>
                <w:tcPr>
                  <w:tcW w:w="1134" w:type="dxa"/>
                  <w:hideMark/>
                </w:tcPr>
                <w:p w:rsidR="00F57BD2" w:rsidRPr="00E16260" w:rsidRDefault="00F57BD2" w:rsidP="005C0041">
                  <w:pPr>
                    <w:rPr>
                      <w:rFonts w:eastAsia="Times New Roman"/>
                      <w:szCs w:val="24"/>
                      <w:lang w:eastAsia="en-GB"/>
                    </w:rPr>
                  </w:pPr>
                  <w:r w:rsidRPr="00E16260">
                    <w:rPr>
                      <w:rFonts w:eastAsia="Times New Roman"/>
                      <w:b/>
                      <w:bCs/>
                      <w:szCs w:val="24"/>
                      <w:lang w:eastAsia="en-GB"/>
                    </w:rPr>
                    <w:t>Number</w:t>
                  </w:r>
                </w:p>
              </w:tc>
              <w:tc>
                <w:tcPr>
                  <w:tcW w:w="2126" w:type="dxa"/>
                  <w:hideMark/>
                </w:tcPr>
                <w:p w:rsidR="00F57BD2" w:rsidRPr="00E16260" w:rsidRDefault="00F57BD2" w:rsidP="005C0041">
                  <w:pPr>
                    <w:rPr>
                      <w:rFonts w:eastAsia="Times New Roman"/>
                      <w:szCs w:val="24"/>
                      <w:lang w:eastAsia="en-GB"/>
                    </w:rPr>
                  </w:pPr>
                  <w:r w:rsidRPr="00E16260">
                    <w:rPr>
                      <w:rFonts w:eastAsia="Times New Roman"/>
                      <w:b/>
                      <w:bCs/>
                      <w:szCs w:val="24"/>
                      <w:lang w:eastAsia="en-GB"/>
                    </w:rPr>
                    <w:t xml:space="preserve">Source </w:t>
                  </w:r>
                </w:p>
              </w:tc>
              <w:tc>
                <w:tcPr>
                  <w:tcW w:w="11287" w:type="dxa"/>
                  <w:hideMark/>
                </w:tcPr>
                <w:p w:rsidR="00F57BD2" w:rsidRPr="00E16260" w:rsidRDefault="00F57BD2" w:rsidP="005C0041">
                  <w:pPr>
                    <w:rPr>
                      <w:rFonts w:eastAsia="Times New Roman"/>
                      <w:szCs w:val="24"/>
                      <w:lang w:eastAsia="en-GB"/>
                    </w:rPr>
                  </w:pPr>
                  <w:r w:rsidRPr="00E16260">
                    <w:rPr>
                      <w:rFonts w:eastAsia="Times New Roman"/>
                      <w:b/>
                      <w:bCs/>
                      <w:szCs w:val="24"/>
                      <w:lang w:eastAsia="en-GB"/>
                    </w:rPr>
                    <w:t>Content</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1483</w:t>
                  </w:r>
                </w:p>
              </w:tc>
              <w:tc>
                <w:tcPr>
                  <w:tcW w:w="1134"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w:t>
                  </w:r>
                </w:p>
                <w:p w:rsidR="00F57BD2" w:rsidRPr="00E16260" w:rsidRDefault="00F57BD2" w:rsidP="005C0041">
                  <w:pPr>
                    <w:spacing w:before="100" w:beforeAutospacing="1" w:after="100" w:afterAutospacing="1"/>
                    <w:rPr>
                      <w:rFonts w:eastAsia="Times New Roman"/>
                      <w:szCs w:val="24"/>
                      <w:lang w:eastAsia="en-GB"/>
                    </w:rPr>
                  </w:pPr>
                  <w:r w:rsidRPr="00E16260">
                    <w:rPr>
                      <w:rFonts w:eastAsia="Times New Roman"/>
                      <w:szCs w:val="24"/>
                      <w:lang w:eastAsia="en-GB"/>
                    </w:rPr>
                    <w:t> </w:t>
                  </w: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Oxford Companion to British History 1997</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Martin Luther 1483-1546. Disputed with Henry VIII in the 1620s</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1509</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p439</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Henry VIII 1509-1547 King 1509-47 (Oxford Companion)</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1532</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Oxford Companion to British History 1997</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1532-1536 The break with the papacy.</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1533</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Oxford Companion to British History 1997</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Henry VIII excommunicated</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1534</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Oxford Companion to British History 1997 Uniformity Acts</w:t>
                  </w:r>
                </w:p>
              </w:tc>
              <w:tc>
                <w:tcPr>
                  <w:tcW w:w="11287" w:type="dxa"/>
                  <w:hideMark/>
                </w:tcPr>
                <w:p w:rsidR="00F57BD2" w:rsidRPr="00E16260" w:rsidRDefault="00F57BD2" w:rsidP="008574F2">
                  <w:pPr>
                    <w:rPr>
                      <w:rFonts w:eastAsia="Times New Roman"/>
                      <w:szCs w:val="24"/>
                      <w:lang w:eastAsia="en-GB"/>
                    </w:rPr>
                  </w:pPr>
                  <w:r w:rsidRPr="00E16260">
                    <w:rPr>
                      <w:rFonts w:eastAsia="Times New Roman"/>
                      <w:szCs w:val="24"/>
                      <w:lang w:eastAsia="en-GB"/>
                    </w:rPr>
                    <w:t xml:space="preserve">Doctrine and liturgy were a royal preserve. There were four prayer books in use at this time </w:t>
                  </w:r>
                  <w:proofErr w:type="spellStart"/>
                  <w:r w:rsidRPr="00E16260">
                    <w:rPr>
                      <w:rFonts w:eastAsia="Times New Roman"/>
                      <w:szCs w:val="24"/>
                      <w:lang w:eastAsia="en-GB"/>
                    </w:rPr>
                    <w:t>Sarum</w:t>
                  </w:r>
                  <w:proofErr w:type="spellEnd"/>
                  <w:r w:rsidRPr="00E16260">
                    <w:rPr>
                      <w:rFonts w:eastAsia="Times New Roman"/>
                      <w:szCs w:val="24"/>
                      <w:lang w:eastAsia="en-GB"/>
                    </w:rPr>
                    <w:t>, York, Bangor and Lincol</w:t>
                  </w:r>
                  <w:bookmarkStart w:id="0" w:name="_GoBack"/>
                  <w:bookmarkEnd w:id="0"/>
                  <w:r w:rsidRPr="00E16260">
                    <w:rPr>
                      <w:rFonts w:eastAsia="Times New Roman"/>
                      <w:szCs w:val="24"/>
                      <w:lang w:eastAsia="en-GB"/>
                    </w:rPr>
                    <w:t>n.</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1536</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Cathedral Journal 1998</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Bishop Richard Sampson 1536 - 1543, a traditionalist on 'Henry VIII's even handed episcopal bench' Briefly imprisoned by Thomas Cromwell</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1543</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Cathedral Journal 1998</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Bishop George Day, a traditionalist 1543-1551 and 1553 - 1556</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lastRenderedPageBreak/>
                    <w:t>1547</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p74 p439</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Edward V1 1547-1553 Land of Marian bishops went to Protestants</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1547</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Oxford Companion to British History 1997</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Edward's commissioners ruthlessly stripped churches</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1549</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Oxford Companion to British History 1997 Uniformity Acts</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Imposed a uniform prayer book on the </w:t>
                  </w:r>
                  <w:proofErr w:type="spellStart"/>
                  <w:r w:rsidRPr="00E16260">
                    <w:rPr>
                      <w:rFonts w:eastAsia="Times New Roman"/>
                      <w:szCs w:val="24"/>
                      <w:lang w:eastAsia="en-GB"/>
                    </w:rPr>
                    <w:t>CofE</w:t>
                  </w:r>
                  <w:proofErr w:type="spellEnd"/>
                  <w:r w:rsidRPr="00E16260">
                    <w:rPr>
                      <w:rFonts w:eastAsia="Times New Roman"/>
                      <w:szCs w:val="24"/>
                      <w:lang w:eastAsia="en-GB"/>
                    </w:rPr>
                    <w:t xml:space="preserve"> [Cranmer], broadly an abridged version of the </w:t>
                  </w:r>
                  <w:proofErr w:type="spellStart"/>
                  <w:r w:rsidRPr="00E16260">
                    <w:rPr>
                      <w:rFonts w:eastAsia="Times New Roman"/>
                      <w:szCs w:val="24"/>
                      <w:lang w:eastAsia="en-GB"/>
                    </w:rPr>
                    <w:t>Sarum</w:t>
                  </w:r>
                  <w:proofErr w:type="spellEnd"/>
                  <w:r w:rsidRPr="00E16260">
                    <w:rPr>
                      <w:rFonts w:eastAsia="Times New Roman"/>
                      <w:szCs w:val="24"/>
                      <w:lang w:eastAsia="en-GB"/>
                    </w:rPr>
                    <w:t xml:space="preserve"> rite, Catholic in tone. V significant in that it was parliament which authorised changes in doctrine and liturgy.</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1549</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Cathedral Journal 1998</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Bishop Day voted against Cranmer's prayer-book, though later showed himself prepared to use it when it became the sole liturgy</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1551</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Cathedral Journal 1998</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Bishop Day refused to 'pluck down' altars and replace them with tables, committed to the custody of the Bishop of Ely, deprived of his see</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1552</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Uniformity Acts Oxford Companion to British History 1997</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1552 Uniformity Act changed mass to communion, altars to tables and vestments to surplices.</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1552</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Cathedral Journal 1998</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Bishop John </w:t>
                  </w:r>
                  <w:proofErr w:type="spellStart"/>
                  <w:r w:rsidRPr="00E16260">
                    <w:rPr>
                      <w:rFonts w:eastAsia="Times New Roman"/>
                      <w:szCs w:val="24"/>
                      <w:lang w:eastAsia="en-GB"/>
                    </w:rPr>
                    <w:t>Scory</w:t>
                  </w:r>
                  <w:proofErr w:type="spellEnd"/>
                  <w:r w:rsidRPr="00E16260">
                    <w:rPr>
                      <w:rFonts w:eastAsia="Times New Roman"/>
                      <w:szCs w:val="24"/>
                      <w:lang w:eastAsia="en-GB"/>
                    </w:rPr>
                    <w:t>, an advanced reformer and protégé of Cranmer 1552-1553</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1552</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Oxford Companion to British History 1997</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The second Book of Common Prayer, probably little used as there was a return to the old Latin rite</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1553</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Cathedral Journal 1998 </w:t>
                  </w:r>
                  <w:proofErr w:type="spellStart"/>
                  <w:r w:rsidRPr="00E16260">
                    <w:rPr>
                      <w:rFonts w:eastAsia="Times New Roman"/>
                      <w:szCs w:val="24"/>
                      <w:lang w:eastAsia="en-GB"/>
                    </w:rPr>
                    <w:t>Poullain</w:t>
                  </w:r>
                  <w:proofErr w:type="spellEnd"/>
                  <w:r w:rsidRPr="00E16260">
                    <w:rPr>
                      <w:rFonts w:eastAsia="Times New Roman"/>
                      <w:szCs w:val="24"/>
                      <w:lang w:eastAsia="en-GB"/>
                    </w:rPr>
                    <w:t>, close to Cranmer</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Funeral Edward VI - a Protestant funeral but with a sermon by the (Marion) Bishop of Chichester George Day</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1553</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p74 p439</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Mary 1553-1558 Marian bishops regained their land</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lastRenderedPageBreak/>
                    <w:t>1555</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Memorial plaque on Providence Chapel Sussex Martyrs by Edward Stoneham 23</w:t>
                  </w:r>
                </w:p>
                <w:p w:rsidR="00F57BD2" w:rsidRPr="00E16260" w:rsidRDefault="00F57BD2" w:rsidP="005C0041">
                  <w:pPr>
                    <w:spacing w:before="100" w:beforeAutospacing="1" w:after="100" w:afterAutospacing="1"/>
                    <w:rPr>
                      <w:rFonts w:eastAsia="Times New Roman"/>
                      <w:szCs w:val="24"/>
                      <w:lang w:eastAsia="en-GB"/>
                    </w:rPr>
                  </w:pPr>
                  <w:r w:rsidRPr="00E16260">
                    <w:rPr>
                      <w:rFonts w:eastAsia="Times New Roman"/>
                      <w:szCs w:val="24"/>
                      <w:lang w:eastAsia="en-GB"/>
                    </w:rPr>
                    <w:t> </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Thomas </w:t>
                  </w:r>
                  <w:proofErr w:type="spellStart"/>
                  <w:r w:rsidRPr="00E16260">
                    <w:rPr>
                      <w:rFonts w:eastAsia="Times New Roman"/>
                      <w:szCs w:val="24"/>
                      <w:lang w:eastAsia="en-GB"/>
                    </w:rPr>
                    <w:t>Iveson</w:t>
                  </w:r>
                  <w:proofErr w:type="spellEnd"/>
                  <w:r w:rsidRPr="00E16260">
                    <w:rPr>
                      <w:rFonts w:eastAsia="Times New Roman"/>
                      <w:szCs w:val="24"/>
                      <w:lang w:eastAsia="en-GB"/>
                    </w:rPr>
                    <w:t xml:space="preserve"> and Richard Hook of Chichester martyred for their faith. </w:t>
                  </w:r>
                  <w:proofErr w:type="spellStart"/>
                  <w:r w:rsidRPr="00E16260">
                    <w:rPr>
                      <w:rFonts w:eastAsia="Times New Roman"/>
                      <w:szCs w:val="24"/>
                      <w:lang w:eastAsia="en-GB"/>
                    </w:rPr>
                    <w:t>Iveson</w:t>
                  </w:r>
                  <w:proofErr w:type="spellEnd"/>
                  <w:r w:rsidRPr="00E16260">
                    <w:rPr>
                      <w:rFonts w:eastAsia="Times New Roman"/>
                      <w:szCs w:val="24"/>
                      <w:lang w:eastAsia="en-GB"/>
                    </w:rPr>
                    <w:t xml:space="preserve"> was a carpenter from </w:t>
                  </w:r>
                  <w:proofErr w:type="spellStart"/>
                  <w:r w:rsidRPr="00E16260">
                    <w:rPr>
                      <w:rFonts w:eastAsia="Times New Roman"/>
                      <w:szCs w:val="24"/>
                      <w:lang w:eastAsia="en-GB"/>
                    </w:rPr>
                    <w:t>Godstone</w:t>
                  </w:r>
                  <w:proofErr w:type="spellEnd"/>
                  <w:r w:rsidRPr="00E16260">
                    <w:rPr>
                      <w:rFonts w:eastAsia="Times New Roman"/>
                      <w:szCs w:val="24"/>
                      <w:lang w:eastAsia="en-GB"/>
                    </w:rPr>
                    <w:t xml:space="preserve">, arrested in Brighton with two others reading the bible in English. Burnt in the cathedral precincts 24 July. Hook was from </w:t>
                  </w:r>
                  <w:proofErr w:type="spellStart"/>
                  <w:r w:rsidRPr="00E16260">
                    <w:rPr>
                      <w:rFonts w:eastAsia="Times New Roman"/>
                      <w:szCs w:val="24"/>
                      <w:lang w:eastAsia="en-GB"/>
                    </w:rPr>
                    <w:t>Alfriston</w:t>
                  </w:r>
                  <w:proofErr w:type="spellEnd"/>
                  <w:r w:rsidRPr="00E16260">
                    <w:rPr>
                      <w:rFonts w:eastAsia="Times New Roman"/>
                      <w:szCs w:val="24"/>
                      <w:lang w:eastAsia="en-GB"/>
                    </w:rPr>
                    <w:t xml:space="preserve"> and was condemned 15th October, his date of execution is unknown</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1556</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Cathedral Journal 1998</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Cranmer burnt at the stake at Oxford</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1558</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p74ff p439</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Elizabeth 1 1558-1603 Land of Marian bishops largely passed into Protestant hands again. These new </w:t>
                  </w:r>
                  <w:proofErr w:type="gramStart"/>
                  <w:r w:rsidRPr="00E16260">
                    <w:rPr>
                      <w:rFonts w:eastAsia="Times New Roman"/>
                      <w:szCs w:val="24"/>
                      <w:lang w:eastAsia="en-GB"/>
                    </w:rPr>
                    <w:t>landowners</w:t>
                  </w:r>
                  <w:proofErr w:type="gramEnd"/>
                  <w:r w:rsidRPr="00E16260">
                    <w:rPr>
                      <w:rFonts w:eastAsia="Times New Roman"/>
                      <w:szCs w:val="24"/>
                      <w:lang w:eastAsia="en-GB"/>
                    </w:rPr>
                    <w:t xml:space="preserve"> not necessarily religious radicals, many actually opposed to the strong swing to Protestantism under Elizabeth, the episcopate she inherited from Mary was so conservative that it provoked this swing. </w:t>
                  </w:r>
                  <w:proofErr w:type="gramStart"/>
                  <w:r w:rsidRPr="00E16260">
                    <w:rPr>
                      <w:rFonts w:eastAsia="Times New Roman"/>
                      <w:szCs w:val="24"/>
                      <w:lang w:eastAsia="en-GB"/>
                    </w:rPr>
                    <w:t>p76</w:t>
                  </w:r>
                  <w:proofErr w:type="gramEnd"/>
                  <w:r w:rsidRPr="00E16260">
                    <w:rPr>
                      <w:rFonts w:eastAsia="Times New Roman"/>
                      <w:szCs w:val="24"/>
                      <w:lang w:eastAsia="en-GB"/>
                    </w:rPr>
                    <w:t xml:space="preserve"> The return of Protestant exiles from the continent, filled with new enthusiasm, also contributed. Elizabeth wanted her church to be all things to almost all men </w:t>
                  </w:r>
                  <w:proofErr w:type="spellStart"/>
                  <w:r w:rsidRPr="00E16260">
                    <w:rPr>
                      <w:rFonts w:eastAsia="Times New Roman"/>
                      <w:szCs w:val="24"/>
                      <w:lang w:eastAsia="en-GB"/>
                    </w:rPr>
                    <w:t>viz</w:t>
                  </w:r>
                  <w:proofErr w:type="spellEnd"/>
                  <w:r w:rsidRPr="00E16260">
                    <w:rPr>
                      <w:rFonts w:eastAsia="Times New Roman"/>
                      <w:szCs w:val="24"/>
                      <w:lang w:eastAsia="en-GB"/>
                    </w:rPr>
                    <w:t xml:space="preserve"> her retention of clerical vestments and her retention of some of the theological ambiguities of the 1552 prayer book p 78</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1559</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Oxford Companion to British History 1997</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 of E established by statute.</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1559</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Oxford Companion to British History 1997 Uniformity Acts</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1559 Uniformity Act decidedly comprehensive adding Catholic elements and returning to the vestments of 1548. Third Book of Common Prayer based on that of 1552</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1559</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Cathedral notice</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Bishop William Barlow, consecrated in the Latin rite under Henry VIII, deprived of Bath and Wells by Mary, consecrated Archbishop Parker in 1559</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1559</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p75</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The Supremacy Act followed by the Act of Uniformity. Supremacy gave to parliament the ultimate power to determine heresy</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1563</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p165</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39 Articles</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1564</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Oxford Companion to British History </w:t>
                  </w:r>
                  <w:r w:rsidRPr="00E16260">
                    <w:rPr>
                      <w:rFonts w:eastAsia="Times New Roman"/>
                      <w:szCs w:val="24"/>
                      <w:lang w:eastAsia="en-GB"/>
                    </w:rPr>
                    <w:lastRenderedPageBreak/>
                    <w:t>1997</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lastRenderedPageBreak/>
                    <w:t>Shakespeare 1564-1616</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lastRenderedPageBreak/>
                    <w:t>1570</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Oxford Companion to British History 1997</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Elizabeth I finally excommunicated</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1570</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p156</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Thomas Cartwright's Cambridge lectures arguing for an equality of ministry could mark the start of the Presbyterian ideal of church government without </w:t>
                  </w:r>
                  <w:proofErr w:type="gramStart"/>
                  <w:r w:rsidRPr="00E16260">
                    <w:rPr>
                      <w:rFonts w:eastAsia="Times New Roman"/>
                      <w:szCs w:val="24"/>
                      <w:lang w:eastAsia="en-GB"/>
                    </w:rPr>
                    <w:t>an episcopacy</w:t>
                  </w:r>
                  <w:proofErr w:type="gramEnd"/>
                  <w:r w:rsidRPr="00E16260">
                    <w:rPr>
                      <w:rFonts w:eastAsia="Times New Roman"/>
                      <w:szCs w:val="24"/>
                      <w:lang w:eastAsia="en-GB"/>
                    </w:rPr>
                    <w:t xml:space="preserve">. Presbyterians were Calvinist </w:t>
                  </w:r>
                  <w:proofErr w:type="spellStart"/>
                  <w:r w:rsidRPr="00E16260">
                    <w:rPr>
                      <w:rFonts w:eastAsia="Times New Roman"/>
                      <w:szCs w:val="24"/>
                      <w:lang w:eastAsia="en-GB"/>
                    </w:rPr>
                    <w:t>predestinationists</w:t>
                  </w:r>
                  <w:proofErr w:type="spellEnd"/>
                  <w:r w:rsidRPr="00E16260">
                    <w:rPr>
                      <w:rFonts w:eastAsia="Times New Roman"/>
                      <w:szCs w:val="24"/>
                      <w:lang w:eastAsia="en-GB"/>
                    </w:rPr>
                    <w:t xml:space="preserve"> (Oxford)</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1576</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p160</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In Elizabeth's view 'three or four preachers might suffice for a county ... and the reading of homilies [prefabricated published sermons to be read from the pulpit] to the people was enough</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1602</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Cathedral memorial</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William </w:t>
                  </w:r>
                  <w:proofErr w:type="spellStart"/>
                  <w:r w:rsidRPr="00E16260">
                    <w:rPr>
                      <w:rFonts w:eastAsia="Times New Roman"/>
                      <w:szCs w:val="24"/>
                      <w:lang w:eastAsia="en-GB"/>
                    </w:rPr>
                    <w:t>Cawley</w:t>
                  </w:r>
                  <w:proofErr w:type="spellEnd"/>
                  <w:r w:rsidRPr="00E16260">
                    <w:rPr>
                      <w:rFonts w:eastAsia="Times New Roman"/>
                      <w:szCs w:val="24"/>
                      <w:lang w:eastAsia="en-GB"/>
                    </w:rPr>
                    <w:t xml:space="preserve"> born</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1603</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p439</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James I 1603-1625</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1604</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p212</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Hampton Court conference: Puritans met with and called on the King for a programme of moderate reform, but maintaining the episcopacy. Not well received? Or sabotaged later by the bishops? The King James Bible resulted from this conference</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1605</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p218</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Gunpowder plot...the product of frustration and disappointment at the failure of the accession of the son of the Catholic Mary Stuart to bring any alleviation of their [Catholic] position.</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1606</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p218</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Oath of allegiance required from all but noble Catholics</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1610</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p216</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Archbishop Bancroft speaks in the House of Lords about his administrative reforms. Highlighted financial problems of the church leading to low stipends, shared parishes, </w:t>
                  </w:r>
                  <w:proofErr w:type="gramStart"/>
                  <w:r w:rsidRPr="00E16260">
                    <w:rPr>
                      <w:rFonts w:eastAsia="Times New Roman"/>
                      <w:szCs w:val="24"/>
                      <w:lang w:eastAsia="en-GB"/>
                    </w:rPr>
                    <w:t>non</w:t>
                  </w:r>
                  <w:proofErr w:type="gramEnd"/>
                  <w:r w:rsidRPr="00E16260">
                    <w:rPr>
                      <w:rFonts w:eastAsia="Times New Roman"/>
                      <w:szCs w:val="24"/>
                      <w:lang w:eastAsia="en-GB"/>
                    </w:rPr>
                    <w:t>-resident clergy.</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1614</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Margaret Fell and the Rise of Quakerism</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Margaret Askew (Fell Fox) 1614 - 1702</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1616</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Oxford Companion to British History </w:t>
                  </w:r>
                  <w:r w:rsidRPr="00E16260">
                    <w:rPr>
                      <w:rFonts w:eastAsia="Times New Roman"/>
                      <w:szCs w:val="24"/>
                      <w:lang w:eastAsia="en-GB"/>
                    </w:rPr>
                    <w:lastRenderedPageBreak/>
                    <w:t>1997</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lastRenderedPageBreak/>
                    <w:t>Shakespeare 1564-1616</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lastRenderedPageBreak/>
                    <w:t>1619</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Cathedral plaque Ref and Rev p278</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Bishop George Carleton, a Calvinist</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1620</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p372</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Pilgrim Fathers arrived in Plymouth Massachusetts, 102 emigrants at least 32 radical separatist congregational Puritans. NOT the first but revered as such as they were responsible family people not feckless young male adventurers. Little further emigration for ten years</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1621</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Cathedral memorial</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John </w:t>
                  </w:r>
                  <w:proofErr w:type="spellStart"/>
                  <w:r w:rsidRPr="00E16260">
                    <w:rPr>
                      <w:rFonts w:eastAsia="Times New Roman"/>
                      <w:szCs w:val="24"/>
                      <w:lang w:eastAsia="en-GB"/>
                    </w:rPr>
                    <w:t>Cawley</w:t>
                  </w:r>
                  <w:proofErr w:type="spellEnd"/>
                  <w:r w:rsidRPr="00E16260">
                    <w:rPr>
                      <w:rFonts w:eastAsia="Times New Roman"/>
                      <w:szCs w:val="24"/>
                      <w:lang w:eastAsia="en-GB"/>
                    </w:rPr>
                    <w:t xml:space="preserve"> died, thrice Mayor of Chichester</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1624</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The Story of Quakerism 15</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Geo Fox born Fenny Drayton Leicestershire</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1624</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p370</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Virginia Company dissolved, following scandal. Crown colony established pop 2500, all N America 3200</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1625</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 439</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Charles I 1625-1649</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1626</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Cathedral memorial</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St </w:t>
                  </w:r>
                  <w:proofErr w:type="spellStart"/>
                  <w:r w:rsidRPr="00E16260">
                    <w:rPr>
                      <w:rFonts w:eastAsia="Times New Roman"/>
                      <w:szCs w:val="24"/>
                      <w:lang w:eastAsia="en-GB"/>
                    </w:rPr>
                    <w:t>Bartholemew's</w:t>
                  </w:r>
                  <w:proofErr w:type="spellEnd"/>
                  <w:r w:rsidRPr="00E16260">
                    <w:rPr>
                      <w:rFonts w:eastAsia="Times New Roman"/>
                      <w:szCs w:val="24"/>
                      <w:lang w:eastAsia="en-GB"/>
                    </w:rPr>
                    <w:t xml:space="preserve"> </w:t>
                  </w:r>
                  <w:proofErr w:type="spellStart"/>
                  <w:r w:rsidRPr="00E16260">
                    <w:rPr>
                      <w:rFonts w:eastAsia="Times New Roman"/>
                      <w:szCs w:val="24"/>
                      <w:lang w:eastAsia="en-GB"/>
                    </w:rPr>
                    <w:t>almshouses</w:t>
                  </w:r>
                  <w:proofErr w:type="spellEnd"/>
                  <w:r w:rsidRPr="00E16260">
                    <w:rPr>
                      <w:rFonts w:eastAsia="Times New Roman"/>
                      <w:szCs w:val="24"/>
                      <w:lang w:eastAsia="en-GB"/>
                    </w:rPr>
                    <w:t xml:space="preserve"> built by W </w:t>
                  </w:r>
                  <w:proofErr w:type="spellStart"/>
                  <w:r w:rsidRPr="00E16260">
                    <w:rPr>
                      <w:rFonts w:eastAsia="Times New Roman"/>
                      <w:szCs w:val="24"/>
                      <w:lang w:eastAsia="en-GB"/>
                    </w:rPr>
                    <w:t>Cawley</w:t>
                  </w:r>
                  <w:proofErr w:type="spellEnd"/>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1628</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Cathedral plaque Ref and Rev p 278</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Bishop Richard </w:t>
                  </w:r>
                  <w:proofErr w:type="spellStart"/>
                  <w:r w:rsidRPr="00E16260">
                    <w:rPr>
                      <w:rFonts w:eastAsia="Times New Roman"/>
                      <w:szCs w:val="24"/>
                      <w:lang w:eastAsia="en-GB"/>
                    </w:rPr>
                    <w:t>Montegue</w:t>
                  </w:r>
                  <w:proofErr w:type="spellEnd"/>
                  <w:r w:rsidRPr="00E16260">
                    <w:rPr>
                      <w:rFonts w:eastAsia="Times New Roman"/>
                      <w:szCs w:val="24"/>
                      <w:lang w:eastAsia="en-GB"/>
                    </w:rPr>
                    <w:t xml:space="preserve">, a </w:t>
                  </w:r>
                  <w:proofErr w:type="spellStart"/>
                  <w:r w:rsidRPr="00E16260">
                    <w:rPr>
                      <w:rFonts w:eastAsia="Times New Roman"/>
                      <w:szCs w:val="24"/>
                      <w:lang w:eastAsia="en-GB"/>
                    </w:rPr>
                    <w:t>ritualist</w:t>
                  </w:r>
                  <w:proofErr w:type="spellEnd"/>
                  <w:r w:rsidRPr="00E16260">
                    <w:rPr>
                      <w:rFonts w:eastAsia="Times New Roman"/>
                      <w:szCs w:val="24"/>
                      <w:lang w:eastAsia="en-GB"/>
                    </w:rPr>
                    <w:t xml:space="preserve"> 1628 - 1638</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1630</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p372</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15000 settlers went to New England from 1628-1640</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1630</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p162ff</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Subscription lectures made up for clerical insufficiency in preaching, and sometimes were in bitter competition. Lay patronage further advanced the Puritan cause where the </w:t>
                  </w:r>
                  <w:proofErr w:type="spellStart"/>
                  <w:r w:rsidRPr="00E16260">
                    <w:rPr>
                      <w:rFonts w:eastAsia="Times New Roman"/>
                      <w:szCs w:val="24"/>
                      <w:lang w:eastAsia="en-GB"/>
                    </w:rPr>
                    <w:t>advowperson</w:t>
                  </w:r>
                  <w:proofErr w:type="spellEnd"/>
                  <w:r w:rsidRPr="00E16260">
                    <w:rPr>
                      <w:rFonts w:eastAsia="Times New Roman"/>
                      <w:szCs w:val="24"/>
                      <w:lang w:eastAsia="en-GB"/>
                    </w:rPr>
                    <w:t xml:space="preserve"> was a sympathiser (</w:t>
                  </w:r>
                  <w:proofErr w:type="spellStart"/>
                  <w:r w:rsidRPr="00E16260">
                    <w:rPr>
                      <w:rFonts w:eastAsia="Times New Roman"/>
                      <w:szCs w:val="24"/>
                      <w:lang w:eastAsia="en-GB"/>
                    </w:rPr>
                    <w:t>Cawley</w:t>
                  </w:r>
                  <w:proofErr w:type="spellEnd"/>
                  <w:r w:rsidRPr="00E16260">
                    <w:rPr>
                      <w:rFonts w:eastAsia="Times New Roman"/>
                      <w:szCs w:val="24"/>
                      <w:lang w:eastAsia="en-GB"/>
                    </w:rPr>
                    <w:t>?). Ministers appointed in this way modified the service by (</w:t>
                  </w:r>
                  <w:proofErr w:type="spellStart"/>
                  <w:r w:rsidRPr="00E16260">
                    <w:rPr>
                      <w:rFonts w:eastAsia="Times New Roman"/>
                      <w:szCs w:val="24"/>
                      <w:lang w:eastAsia="en-GB"/>
                    </w:rPr>
                    <w:t>eg</w:t>
                  </w:r>
                  <w:proofErr w:type="spellEnd"/>
                  <w:r w:rsidRPr="00E16260">
                    <w:rPr>
                      <w:rFonts w:eastAsia="Times New Roman"/>
                      <w:szCs w:val="24"/>
                      <w:lang w:eastAsia="en-GB"/>
                    </w:rPr>
                    <w:t>) omitting objectionable passages from the prayer book</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1633</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Oxford Companion to British History 1997</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Samuel Pepys 1633-1703 Diary 1660-1670(?)</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lastRenderedPageBreak/>
                    <w:t>1633</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p371</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Maryland set up as a colony by the Catholic Lord Baltimore pop 1000</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1633</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p280ff</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Archbishop Laud to Canterbury - Arminian ascendancy, disguised papists whose goal was to create Protestant disunity. The logic of </w:t>
                  </w:r>
                  <w:proofErr w:type="spellStart"/>
                  <w:r w:rsidRPr="00E16260">
                    <w:rPr>
                      <w:rFonts w:eastAsia="Times New Roman"/>
                      <w:szCs w:val="24"/>
                      <w:lang w:eastAsia="en-GB"/>
                    </w:rPr>
                    <w:t>Laudianism</w:t>
                  </w:r>
                  <w:proofErr w:type="spellEnd"/>
                  <w:r w:rsidRPr="00E16260">
                    <w:rPr>
                      <w:rFonts w:eastAsia="Times New Roman"/>
                      <w:szCs w:val="24"/>
                      <w:lang w:eastAsia="en-GB"/>
                    </w:rPr>
                    <w:t xml:space="preserve"> was the logic of polarization and the squeezing of the moderate ecclesiastical centre by the extreme wings. Interestingly he took a hard line against Catholics, perhaps to disguise his own secret tendencies.</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1633</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Margaret Fell and the Rise of Quakerism</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circa 1633 Margaret Fell Junior 1633 -</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1635</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Margaret Fell and the Rise of Quakerism</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circa 1635 Bridget Fell -1663</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1637</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Margaret Fell and the Rise of Quakerism</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circa 1637 Isabel Fell -</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1638</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Margaret Fell and the Rise of Quakerism</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circa 1638 George Fell 1638-1670</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1638</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Cathedral plaque</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Bishop Brian </w:t>
                  </w:r>
                  <w:proofErr w:type="spellStart"/>
                  <w:r w:rsidRPr="00E16260">
                    <w:rPr>
                      <w:rFonts w:eastAsia="Times New Roman"/>
                      <w:szCs w:val="24"/>
                      <w:lang w:eastAsia="en-GB"/>
                    </w:rPr>
                    <w:t>Duppa</w:t>
                  </w:r>
                  <w:proofErr w:type="spellEnd"/>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1640</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p303</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Parliament met November (after 11 years) to make the world safe for Protestantism parliament and local liberties, effectively dismantling the apparatus, punishing the personnel and discountenancing the measures of royal absolutism. Archbishop Laud languished in the Tower</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1640</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p372</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A reverse flow of immigrants began on hopes of better times in England</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1642</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The Story of Quakerism 17</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Geo Fox left home to 'search for faith' Travelled three or four years</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1642</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p310</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22nd August First Civil War 1642-1644</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lastRenderedPageBreak/>
                    <w:t>1642</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Cathedral plaque</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Bishop Henry King 1642-1670</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1642</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Cathedral memorial</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Chichester captured for parliament by forces led by W </w:t>
                  </w:r>
                  <w:proofErr w:type="spellStart"/>
                  <w:r w:rsidRPr="00E16260">
                    <w:rPr>
                      <w:rFonts w:eastAsia="Times New Roman"/>
                      <w:szCs w:val="24"/>
                      <w:lang w:eastAsia="en-GB"/>
                    </w:rPr>
                    <w:t>Cawley</w:t>
                  </w:r>
                  <w:proofErr w:type="spellEnd"/>
                  <w:r w:rsidRPr="00E16260">
                    <w:rPr>
                      <w:rFonts w:eastAsia="Times New Roman"/>
                      <w:szCs w:val="24"/>
                      <w:lang w:eastAsia="en-GB"/>
                    </w:rPr>
                    <w:t>, MP for Chichester and Midhurst</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1642</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Margaret Fell and the Rise of Quakerism</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Sarah Fell 1642 -</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1644</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William Penn (booklet) p7</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William Penn 1644 - 1718</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1645</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Then and Now : Baptists in Chichester2</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James </w:t>
                  </w:r>
                  <w:proofErr w:type="spellStart"/>
                  <w:r w:rsidRPr="00E16260">
                    <w:rPr>
                      <w:rFonts w:eastAsia="Times New Roman"/>
                      <w:szCs w:val="24"/>
                      <w:lang w:eastAsia="en-GB"/>
                    </w:rPr>
                    <w:t>Sicklemore</w:t>
                  </w:r>
                  <w:proofErr w:type="spellEnd"/>
                  <w:r w:rsidRPr="00E16260">
                    <w:rPr>
                      <w:rFonts w:eastAsia="Times New Roman"/>
                      <w:szCs w:val="24"/>
                      <w:lang w:eastAsia="en-GB"/>
                    </w:rPr>
                    <w:t>, 1604-1656, Rector of Singleton, converted to the Baptists</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1645</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p323ff</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Peace groupers came to form the nucleus of what became known as the Presbyterian party, Presbyterians looked with the utmost disfavour on the Independent emphasis on a loosely organized decentralized church. A small minority of Independents favoured, as their Elizabethan predecessors had done, the complete autonomy of individual congregations.</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1645</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p303</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Laud executed.</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1646</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The Story of Quakerism 25</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Oliver Cromwell wrote: 'to be a Seeker is to be the next best sect to a Finder, and such shall every faithful humble Seeker be at the end'</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1647</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Margaret Fell and the Rise of Quakerism</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Mary Fell 1647 -</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1648</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Then and Now : Baptists in Chichester1</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First recorded Baptist meetings in Chichester were in a house in South Street</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1648</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Story of Quakerism126</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Robert Barclay 1648-90</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lastRenderedPageBreak/>
                    <w:t>1648</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The Story of Quakerism 19</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Geo Fox formulates his ideas: 'the light within'</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1648</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Cathedral memorial</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W </w:t>
                  </w:r>
                  <w:proofErr w:type="spellStart"/>
                  <w:r w:rsidRPr="00E16260">
                    <w:rPr>
                      <w:rFonts w:eastAsia="Times New Roman"/>
                      <w:szCs w:val="24"/>
                      <w:lang w:eastAsia="en-GB"/>
                    </w:rPr>
                    <w:t>Cawley</w:t>
                  </w:r>
                  <w:proofErr w:type="spellEnd"/>
                  <w:r w:rsidRPr="00E16260">
                    <w:rPr>
                      <w:rFonts w:eastAsia="Times New Roman"/>
                      <w:szCs w:val="24"/>
                      <w:lang w:eastAsia="en-GB"/>
                    </w:rPr>
                    <w:t xml:space="preserve"> a member of the High Court which tried King Charles and signed the warrant for his execution</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1649</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The Story of Quakerism 22</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Fox a recognized leader of the Nottinghamshire 'Children of Light'</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1649</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William Penn (booklet) p7</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Charles 1 beheaded</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1650</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The Story of Quakerism 23</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Questioned on blasphemy charges Fox enjoined the magistrates to 'tremble at the word of the Lord' and was thus dubbed a 'Quaker'</w:t>
                  </w:r>
                </w:p>
                <w:p w:rsidR="00F57BD2" w:rsidRPr="00E16260" w:rsidRDefault="00F57BD2" w:rsidP="005C0041">
                  <w:pPr>
                    <w:spacing w:before="100" w:beforeAutospacing="1" w:after="100" w:afterAutospacing="1"/>
                    <w:rPr>
                      <w:rFonts w:eastAsia="Times New Roman"/>
                      <w:szCs w:val="24"/>
                      <w:lang w:eastAsia="en-GB"/>
                    </w:rPr>
                  </w:pPr>
                  <w:r w:rsidRPr="00E16260">
                    <w:rPr>
                      <w:rFonts w:eastAsia="Times New Roman"/>
                      <w:szCs w:val="24"/>
                      <w:lang w:eastAsia="en-GB"/>
                    </w:rPr>
                    <w:t>Whilst imprisoned he was offered a captaincy which he rejected.</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1650</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Margaret Fell and the Rise of Quakerism</w:t>
                  </w:r>
                </w:p>
              </w:tc>
              <w:tc>
                <w:tcPr>
                  <w:tcW w:w="11287" w:type="dxa"/>
                  <w:hideMark/>
                </w:tcPr>
                <w:p w:rsidR="00F57BD2" w:rsidRPr="00E16260" w:rsidRDefault="00F57BD2" w:rsidP="005C0041">
                  <w:pPr>
                    <w:rPr>
                      <w:rFonts w:eastAsia="Times New Roman"/>
                      <w:szCs w:val="24"/>
                      <w:lang w:eastAsia="en-GB"/>
                    </w:rPr>
                  </w:pPr>
                  <w:proofErr w:type="spellStart"/>
                  <w:r w:rsidRPr="00E16260">
                    <w:rPr>
                      <w:rFonts w:eastAsia="Times New Roman"/>
                      <w:szCs w:val="24"/>
                      <w:lang w:eastAsia="en-GB"/>
                    </w:rPr>
                    <w:t>Susanah</w:t>
                  </w:r>
                  <w:proofErr w:type="spellEnd"/>
                  <w:r w:rsidRPr="00E16260">
                    <w:rPr>
                      <w:rFonts w:eastAsia="Times New Roman"/>
                      <w:szCs w:val="24"/>
                      <w:lang w:eastAsia="en-GB"/>
                    </w:rPr>
                    <w:t xml:space="preserve"> Fell 1650 -</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1651</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p392</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A parliamentary committee suggests that the cathedrals be demolished and the stone sold to raise money for the poor.</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1651</w:t>
                  </w:r>
                </w:p>
              </w:tc>
              <w:tc>
                <w:tcPr>
                  <w:tcW w:w="1134"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21</w:t>
                  </w: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Notes, author unknown 1998</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John Smith wrote early register of births marriages and deaths [also recorded on a Millington file card]</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1652</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Chichester A Documentary Record</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The houses newly built on the north side of St Pancras were sold. All previous building here and in Eastgate Square was destroyed in the Civil War</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1652</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The Story of Quakerism 23</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'Friends in the Truth' the term in use - formal titles were rejected as the movement was regarded as universal rather than a sect</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1652</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The Story of Quakerism 31</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Geo Fox, the travelling preacher meets Margaret Fell, mistress of Swarthmore</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1653</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The Story of </w:t>
                  </w:r>
                  <w:r w:rsidRPr="00E16260">
                    <w:rPr>
                      <w:rFonts w:eastAsia="Times New Roman"/>
                      <w:szCs w:val="24"/>
                      <w:lang w:eastAsia="en-GB"/>
                    </w:rPr>
                    <w:lastRenderedPageBreak/>
                    <w:t>Quakerism 42</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lastRenderedPageBreak/>
                    <w:t>Geo Fox imprisoned at Carlisle</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lastRenderedPageBreak/>
                    <w:t>1653</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Margaret Fell and the Rise of Quakerism</w:t>
                  </w:r>
                </w:p>
              </w:tc>
              <w:tc>
                <w:tcPr>
                  <w:tcW w:w="11287" w:type="dxa"/>
                  <w:hideMark/>
                </w:tcPr>
                <w:p w:rsidR="00F57BD2" w:rsidRPr="00E16260" w:rsidRDefault="00F57BD2" w:rsidP="005C0041">
                  <w:pPr>
                    <w:spacing w:before="100" w:beforeAutospacing="1" w:after="100" w:afterAutospacing="1"/>
                    <w:rPr>
                      <w:rFonts w:eastAsia="Times New Roman"/>
                      <w:szCs w:val="24"/>
                      <w:lang w:eastAsia="en-GB"/>
                    </w:rPr>
                  </w:pPr>
                  <w:r w:rsidRPr="00E16260">
                    <w:rPr>
                      <w:rFonts w:eastAsia="Times New Roman"/>
                      <w:szCs w:val="24"/>
                      <w:lang w:eastAsia="en-GB"/>
                    </w:rPr>
                    <w:t>Rachel Fell 1653 -</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1653</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Reformation and Revolution p406</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Under Cromwell as Protector there was broad religious toleration, even Catholics and Episcopalians were de facto tolerated provided they steered clear of sedition.</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1653</w:t>
                  </w:r>
                </w:p>
              </w:tc>
              <w:tc>
                <w:tcPr>
                  <w:tcW w:w="1134"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174</w:t>
                  </w: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Lawmaking and Legislators in Pennsylvania</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William Clayton was married 7th November to Prudence </w:t>
                  </w:r>
                  <w:proofErr w:type="spellStart"/>
                  <w:r w:rsidRPr="00E16260">
                    <w:rPr>
                      <w:rFonts w:eastAsia="Times New Roman"/>
                      <w:szCs w:val="24"/>
                      <w:lang w:eastAsia="en-GB"/>
                    </w:rPr>
                    <w:t>Langkford</w:t>
                  </w:r>
                  <w:proofErr w:type="spellEnd"/>
                  <w:r w:rsidRPr="00E16260">
                    <w:rPr>
                      <w:rFonts w:eastAsia="Times New Roman"/>
                      <w:szCs w:val="24"/>
                      <w:lang w:eastAsia="en-GB"/>
                    </w:rPr>
                    <w:t xml:space="preserve"> in St Pancras (sic - actually demolished at the time - </w:t>
                  </w:r>
                  <w:proofErr w:type="spellStart"/>
                  <w:r w:rsidRPr="00E16260">
                    <w:rPr>
                      <w:rFonts w:eastAsia="Times New Roman"/>
                      <w:szCs w:val="24"/>
                      <w:lang w:eastAsia="en-GB"/>
                    </w:rPr>
                    <w:t>Rumboldswhyke</w:t>
                  </w:r>
                  <w:proofErr w:type="spellEnd"/>
                  <w:r w:rsidRPr="00E16260">
                    <w:rPr>
                      <w:rFonts w:eastAsia="Times New Roman"/>
                      <w:szCs w:val="24"/>
                      <w:lang w:eastAsia="en-GB"/>
                    </w:rPr>
                    <w:t xml:space="preserve"> was a joint benefice and Clayton was from Whyke) MW)</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1654</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The Story of Quakerism 44</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Cromwell gave a hearing to the Quakers John </w:t>
                  </w:r>
                  <w:proofErr w:type="spellStart"/>
                  <w:r w:rsidRPr="00E16260">
                    <w:rPr>
                      <w:rFonts w:eastAsia="Times New Roman"/>
                      <w:szCs w:val="24"/>
                      <w:lang w:eastAsia="en-GB"/>
                    </w:rPr>
                    <w:t>Camm</w:t>
                  </w:r>
                  <w:proofErr w:type="spellEnd"/>
                  <w:r w:rsidRPr="00E16260">
                    <w:rPr>
                      <w:rFonts w:eastAsia="Times New Roman"/>
                      <w:szCs w:val="24"/>
                      <w:lang w:eastAsia="en-GB"/>
                    </w:rPr>
                    <w:t xml:space="preserve"> and Francis </w:t>
                  </w:r>
                  <w:proofErr w:type="spellStart"/>
                  <w:r w:rsidRPr="00E16260">
                    <w:rPr>
                      <w:rFonts w:eastAsia="Times New Roman"/>
                      <w:szCs w:val="24"/>
                      <w:lang w:eastAsia="en-GB"/>
                    </w:rPr>
                    <w:t>Howgill</w:t>
                  </w:r>
                  <w:proofErr w:type="spellEnd"/>
                  <w:r w:rsidRPr="00E16260">
                    <w:rPr>
                      <w:rFonts w:eastAsia="Times New Roman"/>
                      <w:szCs w:val="24"/>
                      <w:lang w:eastAsia="en-GB"/>
                    </w:rPr>
                    <w:t>. Offered them money or anything they needed. OC spoke of Margaret Fell with respect</w:t>
                  </w:r>
                </w:p>
              </w:tc>
            </w:tr>
            <w:tr w:rsidR="00F57BD2" w:rsidRPr="00E16260" w:rsidTr="008574F2">
              <w:trPr>
                <w:tblCellSpacing w:w="0" w:type="dxa"/>
              </w:trPr>
              <w:tc>
                <w:tcPr>
                  <w:tcW w:w="851"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1654</w:t>
                  </w:r>
                </w:p>
              </w:tc>
              <w:tc>
                <w:tcPr>
                  <w:tcW w:w="1134" w:type="dxa"/>
                  <w:hideMark/>
                </w:tcPr>
                <w:p w:rsidR="00F57BD2" w:rsidRPr="00E16260" w:rsidRDefault="00F57BD2" w:rsidP="005C0041">
                  <w:pPr>
                    <w:rPr>
                      <w:rFonts w:eastAsia="Times New Roman"/>
                      <w:szCs w:val="24"/>
                      <w:lang w:eastAsia="en-GB"/>
                    </w:rPr>
                  </w:pPr>
                </w:p>
              </w:tc>
              <w:tc>
                <w:tcPr>
                  <w:tcW w:w="2126"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The Story of Quakerism 45</w:t>
                  </w:r>
                </w:p>
              </w:tc>
              <w:tc>
                <w:tcPr>
                  <w:tcW w:w="11287" w:type="dxa"/>
                  <w:hideMark/>
                </w:tcPr>
                <w:p w:rsidR="00F57BD2" w:rsidRPr="00E16260" w:rsidRDefault="00F57BD2" w:rsidP="005C0041">
                  <w:pPr>
                    <w:rPr>
                      <w:rFonts w:eastAsia="Times New Roman"/>
                      <w:szCs w:val="24"/>
                      <w:lang w:eastAsia="en-GB"/>
                    </w:rPr>
                  </w:pPr>
                  <w:r w:rsidRPr="00E16260">
                    <w:rPr>
                      <w:rFonts w:eastAsia="Times New Roman"/>
                      <w:szCs w:val="24"/>
                      <w:lang w:eastAsia="en-GB"/>
                    </w:rPr>
                    <w:t xml:space="preserve">1654 or 1655 Missionary campaign set out from </w:t>
                  </w:r>
                  <w:proofErr w:type="spellStart"/>
                  <w:r w:rsidRPr="00E16260">
                    <w:rPr>
                      <w:rFonts w:eastAsia="Times New Roman"/>
                      <w:szCs w:val="24"/>
                      <w:lang w:eastAsia="en-GB"/>
                    </w:rPr>
                    <w:t>Swarthmoor</w:t>
                  </w:r>
                  <w:proofErr w:type="spellEnd"/>
                  <w:r w:rsidRPr="00E16260">
                    <w:rPr>
                      <w:rFonts w:eastAsia="Times New Roman"/>
                      <w:szCs w:val="24"/>
                      <w:lang w:eastAsia="en-GB"/>
                    </w:rPr>
                    <w:t xml:space="preserve"> 'seventy ministers' known as the Valiant Sixty' to be precise 66 - 54 men and 12 women</w:t>
                  </w:r>
                </w:p>
              </w:tc>
            </w:tr>
          </w:tbl>
          <w:p w:rsidR="005C0041" w:rsidRPr="00E16260" w:rsidRDefault="005C0041" w:rsidP="005C0041">
            <w:pPr>
              <w:rPr>
                <w:rFonts w:eastAsia="Times New Roman"/>
                <w:szCs w:val="24"/>
                <w:lang w:eastAsia="en-GB"/>
              </w:rPr>
            </w:pPr>
          </w:p>
        </w:tc>
      </w:tr>
    </w:tbl>
    <w:p w:rsidR="005C0041" w:rsidRPr="005C0041" w:rsidRDefault="005C0041" w:rsidP="005C0041">
      <w:pPr>
        <w:rPr>
          <w:rFonts w:eastAsia="Times New Roman"/>
          <w:vanish/>
          <w:color w:val="000080"/>
          <w:sz w:val="27"/>
          <w:lang w:eastAsia="en-GB"/>
        </w:rPr>
      </w:pPr>
    </w:p>
    <w:tbl>
      <w:tblPr>
        <w:tblW w:w="3900" w:type="pct"/>
        <w:tblCellSpacing w:w="0" w:type="dxa"/>
        <w:tblCellMar>
          <w:left w:w="0" w:type="dxa"/>
          <w:right w:w="0" w:type="dxa"/>
        </w:tblCellMar>
        <w:tblLook w:val="04A0" w:firstRow="1" w:lastRow="0" w:firstColumn="1" w:lastColumn="0" w:noHBand="0" w:noVBand="1"/>
      </w:tblPr>
      <w:tblGrid>
        <w:gridCol w:w="12010"/>
      </w:tblGrid>
      <w:tr w:rsidR="005C0041" w:rsidRPr="005C0041" w:rsidTr="005C0041">
        <w:trPr>
          <w:tblCellSpacing w:w="0" w:type="dxa"/>
        </w:trPr>
        <w:tc>
          <w:tcPr>
            <w:tcW w:w="5000" w:type="pct"/>
            <w:vAlign w:val="center"/>
            <w:hideMark/>
          </w:tcPr>
          <w:p w:rsidR="005C0041" w:rsidRPr="005C0041" w:rsidRDefault="005C0041" w:rsidP="005C0041">
            <w:pPr>
              <w:rPr>
                <w:rFonts w:eastAsia="Times New Roman"/>
                <w:szCs w:val="24"/>
                <w:lang w:eastAsia="en-GB"/>
              </w:rPr>
            </w:pPr>
            <w:r w:rsidRPr="005C0041">
              <w:rPr>
                <w:rFonts w:eastAsia="Times New Roman"/>
                <w:color w:val="FFFFFF"/>
                <w:sz w:val="20"/>
                <w:lang w:eastAsia="en-GB"/>
              </w:rPr>
              <w:t>.</w:t>
            </w:r>
          </w:p>
        </w:tc>
      </w:tr>
    </w:tbl>
    <w:p w:rsidR="005C0041" w:rsidRPr="005C0041" w:rsidRDefault="005C0041" w:rsidP="005C0041">
      <w:pPr>
        <w:rPr>
          <w:rFonts w:eastAsia="Times New Roman"/>
          <w:vanish/>
          <w:color w:val="000080"/>
          <w:sz w:val="27"/>
          <w:lang w:eastAsia="en-GB"/>
        </w:rPr>
      </w:pPr>
    </w:p>
    <w:p w:rsidR="0074209B" w:rsidRDefault="0074209B"/>
    <w:sectPr w:rsidR="0074209B" w:rsidSect="00E1626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41"/>
    <w:rsid w:val="00111BA1"/>
    <w:rsid w:val="002B4652"/>
    <w:rsid w:val="00304F0C"/>
    <w:rsid w:val="00311055"/>
    <w:rsid w:val="00342786"/>
    <w:rsid w:val="00350025"/>
    <w:rsid w:val="004927B9"/>
    <w:rsid w:val="005C0041"/>
    <w:rsid w:val="006B1A63"/>
    <w:rsid w:val="0074209B"/>
    <w:rsid w:val="00794E54"/>
    <w:rsid w:val="008574F2"/>
    <w:rsid w:val="009269AB"/>
    <w:rsid w:val="00952F49"/>
    <w:rsid w:val="009F5CBA"/>
    <w:rsid w:val="00B049FD"/>
    <w:rsid w:val="00B76FEF"/>
    <w:rsid w:val="00D7478A"/>
    <w:rsid w:val="00DB6F0C"/>
    <w:rsid w:val="00E16260"/>
    <w:rsid w:val="00E75D7D"/>
    <w:rsid w:val="00F32727"/>
    <w:rsid w:val="00F57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C0041"/>
  </w:style>
  <w:style w:type="paragraph" w:styleId="NormalWeb">
    <w:name w:val="Normal (Web)"/>
    <w:basedOn w:val="Normal"/>
    <w:uiPriority w:val="99"/>
    <w:unhideWhenUsed/>
    <w:rsid w:val="005C0041"/>
    <w:pPr>
      <w:spacing w:before="100" w:beforeAutospacing="1" w:after="100" w:afterAutospacing="1"/>
    </w:pPr>
    <w:rPr>
      <w:rFonts w:eastAsia="Times New Roman"/>
      <w:szCs w:val="24"/>
      <w:lang w:eastAsia="en-GB"/>
    </w:rPr>
  </w:style>
  <w:style w:type="character" w:styleId="Hyperlink">
    <w:name w:val="Hyperlink"/>
    <w:basedOn w:val="DefaultParagraphFont"/>
    <w:uiPriority w:val="99"/>
    <w:semiHidden/>
    <w:unhideWhenUsed/>
    <w:rsid w:val="005C0041"/>
    <w:rPr>
      <w:color w:val="0000FF"/>
      <w:u w:val="single"/>
    </w:rPr>
  </w:style>
  <w:style w:type="character" w:customStyle="1" w:styleId="apple-converted-space">
    <w:name w:val="apple-converted-space"/>
    <w:basedOn w:val="DefaultParagraphFont"/>
    <w:rsid w:val="005C0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C0041"/>
  </w:style>
  <w:style w:type="paragraph" w:styleId="NormalWeb">
    <w:name w:val="Normal (Web)"/>
    <w:basedOn w:val="Normal"/>
    <w:uiPriority w:val="99"/>
    <w:unhideWhenUsed/>
    <w:rsid w:val="005C0041"/>
    <w:pPr>
      <w:spacing w:before="100" w:beforeAutospacing="1" w:after="100" w:afterAutospacing="1"/>
    </w:pPr>
    <w:rPr>
      <w:rFonts w:eastAsia="Times New Roman"/>
      <w:szCs w:val="24"/>
      <w:lang w:eastAsia="en-GB"/>
    </w:rPr>
  </w:style>
  <w:style w:type="character" w:styleId="Hyperlink">
    <w:name w:val="Hyperlink"/>
    <w:basedOn w:val="DefaultParagraphFont"/>
    <w:uiPriority w:val="99"/>
    <w:semiHidden/>
    <w:unhideWhenUsed/>
    <w:rsid w:val="005C0041"/>
    <w:rPr>
      <w:color w:val="0000FF"/>
      <w:u w:val="single"/>
    </w:rPr>
  </w:style>
  <w:style w:type="character" w:customStyle="1" w:styleId="apple-converted-space">
    <w:name w:val="apple-converted-space"/>
    <w:basedOn w:val="DefaultParagraphFont"/>
    <w:rsid w:val="005C0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8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2014-05-24T22:35:00Z</dcterms:created>
  <dcterms:modified xsi:type="dcterms:W3CDTF">2014-05-25T19:47:00Z</dcterms:modified>
</cp:coreProperties>
</file>